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</w:rPr>
      </w:pPr>
      <w:r w:rsidDel="00000000" w:rsidR="00000000" w:rsidRPr="00000000">
        <w:rPr/>
        <w:drawing>
          <wp:inline distB="0" distT="0" distL="114300" distR="114300">
            <wp:extent cx="1212242" cy="971550"/>
            <wp:effectExtent b="0" l="0" r="0" t="0"/>
            <wp:docPr id="25987899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2242" cy="971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center"/>
        <w:rPr>
          <w:rFonts w:ascii="Book Antiqua" w:cs="Book Antiqua" w:eastAsia="Book Antiqua" w:hAnsi="Book Antiqua"/>
          <w:b w:val="1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u w:val="single"/>
          <w:rtl w:val="1"/>
        </w:rPr>
        <w:t xml:space="preserve">معايير</w:t>
      </w:r>
      <w:r w:rsidDel="00000000" w:rsidR="00000000" w:rsidRPr="00000000">
        <w:rPr>
          <w:rFonts w:ascii="Book Antiqua" w:cs="Book Antiqua" w:eastAsia="Book Antiqua" w:hAnsi="Book Antiqua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1"/>
          <w:u w:val="single"/>
          <w:rtl w:val="1"/>
        </w:rPr>
        <w:t xml:space="preserve">وقواعد</w:t>
      </w:r>
      <w:r w:rsidDel="00000000" w:rsidR="00000000" w:rsidRPr="00000000">
        <w:rPr>
          <w:rFonts w:ascii="Book Antiqua" w:cs="Book Antiqua" w:eastAsia="Book Antiqua" w:hAnsi="Book Antiqua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1"/>
          <w:u w:val="single"/>
          <w:rtl w:val="1"/>
        </w:rPr>
        <w:t xml:space="preserve">النشر</w:t>
      </w:r>
      <w:r w:rsidDel="00000000" w:rsidR="00000000" w:rsidRPr="00000000">
        <w:rPr>
          <w:rFonts w:ascii="Book Antiqua" w:cs="Book Antiqua" w:eastAsia="Book Antiqua" w:hAnsi="Book Antiqua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1"/>
          <w:u w:val="single"/>
          <w:rtl w:val="1"/>
        </w:rPr>
        <w:t xml:space="preserve">في</w:t>
      </w:r>
      <w:r w:rsidDel="00000000" w:rsidR="00000000" w:rsidRPr="00000000">
        <w:rPr>
          <w:rFonts w:ascii="Book Antiqua" w:cs="Book Antiqua" w:eastAsia="Book Antiqua" w:hAnsi="Book Antiqua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1"/>
          <w:u w:val="single"/>
          <w:rtl w:val="1"/>
        </w:rPr>
        <w:t xml:space="preserve">مجلة</w:t>
      </w:r>
      <w:r w:rsidDel="00000000" w:rsidR="00000000" w:rsidRPr="00000000">
        <w:rPr>
          <w:rFonts w:ascii="Book Antiqua" w:cs="Book Antiqua" w:eastAsia="Book Antiqua" w:hAnsi="Book Antiqua"/>
          <w:b w:val="1"/>
          <w:u w:val="single"/>
          <w:rtl w:val="1"/>
        </w:rPr>
        <w:t xml:space="preserve">  "</w:t>
      </w:r>
      <w:r w:rsidDel="00000000" w:rsidR="00000000" w:rsidRPr="00000000">
        <w:rPr>
          <w:rFonts w:ascii="Book Antiqua" w:cs="Book Antiqua" w:eastAsia="Book Antiqua" w:hAnsi="Book Antiqua"/>
          <w:b w:val="1"/>
          <w:u w:val="single"/>
          <w:rtl w:val="0"/>
        </w:rPr>
        <w:t xml:space="preserve">SDE</w:t>
      </w:r>
      <w:r w:rsidDel="00000000" w:rsidR="00000000" w:rsidRPr="00000000">
        <w:rPr>
          <w:rFonts w:ascii="Book Antiqua" w:cs="Book Antiqua" w:eastAsia="Book Antiqua" w:hAnsi="Book Antiqua"/>
          <w:b w:val="1"/>
          <w:u w:val="single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1"/>
          <w:u w:val="single"/>
          <w:rtl w:val="0"/>
        </w:rPr>
        <w:t xml:space="preserve">Genç</w:t>
      </w:r>
      <w:r w:rsidDel="00000000" w:rsidR="00000000" w:rsidRPr="00000000">
        <w:rPr>
          <w:rFonts w:ascii="Book Antiqua" w:cs="Book Antiqua" w:eastAsia="Book Antiqua" w:hAnsi="Book Antiqua"/>
          <w:b w:val="1"/>
          <w:u w:val="single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1"/>
          <w:u w:val="single"/>
          <w:rtl w:val="0"/>
        </w:rPr>
        <w:t xml:space="preserve">Analiz</w:t>
      </w:r>
      <w:r w:rsidDel="00000000" w:rsidR="00000000" w:rsidRPr="00000000">
        <w:rPr>
          <w:rFonts w:ascii="Book Antiqua" w:cs="Book Antiqua" w:eastAsia="Book Antiqua" w:hAnsi="Book Antiqua"/>
          <w:b w:val="1"/>
          <w:u w:val="single"/>
          <w:rtl w:val="1"/>
        </w:rPr>
        <w:t xml:space="preserve"> ”</w:t>
      </w:r>
    </w:p>
    <w:p w:rsidR="00000000" w:rsidDel="00000000" w:rsidP="00000000" w:rsidRDefault="00000000" w:rsidRPr="00000000" w14:paraId="00000004">
      <w:pPr>
        <w:bidi w:val="1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مجلة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SDE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Genç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Analiz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هي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أحد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أنشطة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معهد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التفكير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الاستراتيجي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(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SDE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).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وينشر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أعمالا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ً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علمية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مجانية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مثل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المقالات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ومقالات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الرأي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التي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تركز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على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الدراسات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الإقليمية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وتهدف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إلى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تزويد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القراء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الكرام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بأفكار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جديدة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.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يهدف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SDE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Genç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Analiz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،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الذي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يتابع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التطورات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السياسية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والاجتماعية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والفكرية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العالمية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،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وخاصة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في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العالم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الإسلامي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،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إلى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تقديم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اقتراحات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كحلول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للمشاكل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القائمة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وإلى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تزويد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القراء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برؤية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جديدة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للمستقبل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.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يقوم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على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خدمات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التنسيق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في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SDE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Genç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Analiz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باحثون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شباب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. </w:t>
      </w:r>
    </w:p>
    <w:p w:rsidR="00000000" w:rsidDel="00000000" w:rsidP="00000000" w:rsidRDefault="00000000" w:rsidRPr="00000000" w14:paraId="00000006">
      <w:pPr>
        <w:bidi w:val="1"/>
        <w:jc w:val="center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jc w:val="center"/>
        <w:rPr>
          <w:rFonts w:ascii="Book Antiqua" w:cs="Book Antiqua" w:eastAsia="Book Antiqua" w:hAnsi="Book Antiqua"/>
          <w:b w:val="1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u w:val="single"/>
          <w:rtl w:val="1"/>
        </w:rPr>
        <w:t xml:space="preserve">معايير</w:t>
      </w:r>
      <w:r w:rsidDel="00000000" w:rsidR="00000000" w:rsidRPr="00000000">
        <w:rPr>
          <w:rFonts w:ascii="Book Antiqua" w:cs="Book Antiqua" w:eastAsia="Book Antiqua" w:hAnsi="Book Antiqua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1"/>
          <w:u w:val="single"/>
          <w:rtl w:val="1"/>
        </w:rPr>
        <w:t xml:space="preserve">النشر</w:t>
      </w:r>
      <w:r w:rsidDel="00000000" w:rsidR="00000000" w:rsidRPr="00000000">
        <w:rPr>
          <w:rFonts w:ascii="Book Antiqua" w:cs="Book Antiqua" w:eastAsia="Book Antiqua" w:hAnsi="Book Antiqua"/>
          <w:b w:val="1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08">
      <w:pPr>
        <w:bidi w:val="1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يقوم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باحثي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المركز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(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SDE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)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بمراجعة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المقالات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المقدمة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للنشر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في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مجلة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التحليلات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</w:p>
    <w:p w:rsidR="00000000" w:rsidDel="00000000" w:rsidP="00000000" w:rsidRDefault="00000000" w:rsidRPr="00000000" w14:paraId="0000000A">
      <w:pPr>
        <w:bidi w:val="1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للتأكد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من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استيفائها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لمعايير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النشر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في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المجلة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،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والتوافق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مع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قواعد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الكتابة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. </w:t>
      </w:r>
    </w:p>
    <w:p w:rsidR="00000000" w:rsidDel="00000000" w:rsidP="00000000" w:rsidRDefault="00000000" w:rsidRPr="00000000" w14:paraId="0000000B">
      <w:pPr>
        <w:bidi w:val="1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تخضع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المقالات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للفحص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من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قبل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باحثين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متخصصين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ويتخذ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قرار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نشر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المقالات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التي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ت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ُ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عتبر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مناسبة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في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ضوء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آراء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محرري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العدد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لتقييمها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من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حيث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كفاءتها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العلمية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-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يوضع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العمل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الذي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يتقرر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نشره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في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قائمة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انتظار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النشر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-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يتلقى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المؤلف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(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المؤلفون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)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رد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ً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في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غضون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5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أيام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عمل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من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آخر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يوم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من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تاريخ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قبول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النشر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. </w:t>
      </w:r>
    </w:p>
    <w:p w:rsidR="00000000" w:rsidDel="00000000" w:rsidP="00000000" w:rsidRDefault="00000000" w:rsidRPr="00000000" w14:paraId="0000000E">
      <w:pPr>
        <w:bidi w:val="1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-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يجب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أن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تكون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الدراسات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ومقالات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الرأي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المرسلة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إلى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SDE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Genç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Analiz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'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in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معدة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خصيصا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ً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للمجلة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،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وألا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تكون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قد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سبق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نشرها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جزئيا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ً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أو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كليا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ً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أو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قدم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للنشر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في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أي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وسيلة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نشر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إلكترونية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أو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ورقية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من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قبل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. </w:t>
      </w:r>
    </w:p>
    <w:p w:rsidR="00000000" w:rsidDel="00000000" w:rsidP="00000000" w:rsidRDefault="00000000" w:rsidRPr="00000000" w14:paraId="0000000F">
      <w:pPr>
        <w:bidi w:val="1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-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يجب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على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المؤلفين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إجراء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التعديلات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مع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مراعاة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ملاحظات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هيئة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التحرير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-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هيئة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التحرير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حرة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في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نشر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المقال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أو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عدم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نشره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-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قد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ت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ُ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حذف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المقالات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المنشورة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للمؤلفين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من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النشر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وفقا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ً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لقرار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هيئة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التحرير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. </w:t>
      </w:r>
    </w:p>
    <w:p w:rsidR="00000000" w:rsidDel="00000000" w:rsidP="00000000" w:rsidRDefault="00000000" w:rsidRPr="00000000" w14:paraId="00000012">
      <w:pPr>
        <w:bidi w:val="1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-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لا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يدفع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المركز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مكافأة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مالية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مقابل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نشر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المقالات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في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المجلة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. </w:t>
      </w:r>
    </w:p>
    <w:p w:rsidR="00000000" w:rsidDel="00000000" w:rsidP="00000000" w:rsidRDefault="00000000" w:rsidRPr="00000000" w14:paraId="00000013">
      <w:pPr>
        <w:bidi w:val="1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-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تقع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المسؤولية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العلمية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والقانونية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للمقالات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المنشورة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على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عاتق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المؤلف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. </w:t>
      </w:r>
    </w:p>
    <w:p w:rsidR="00000000" w:rsidDel="00000000" w:rsidP="00000000" w:rsidRDefault="00000000" w:rsidRPr="00000000" w14:paraId="00000014">
      <w:pPr>
        <w:bidi w:val="1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-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جميع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حقوق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المقالات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المنشورة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تعود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إلى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SDE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والمؤلف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. </w:t>
      </w:r>
    </w:p>
    <w:p w:rsidR="00000000" w:rsidDel="00000000" w:rsidP="00000000" w:rsidRDefault="00000000" w:rsidRPr="00000000" w14:paraId="00000015">
      <w:pPr>
        <w:bidi w:val="1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-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لا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يمكن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اقتباس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المقالات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المنشورة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في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مجلة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SDE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Genç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Analiz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دون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ذكر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المصدر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. </w:t>
      </w:r>
    </w:p>
    <w:p w:rsidR="00000000" w:rsidDel="00000000" w:rsidP="00000000" w:rsidRDefault="00000000" w:rsidRPr="00000000" w14:paraId="00000016">
      <w:pPr>
        <w:bidi w:val="1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jc w:val="center"/>
        <w:rPr>
          <w:rFonts w:ascii="Book Antiqua" w:cs="Book Antiqua" w:eastAsia="Book Antiqua" w:hAnsi="Book Antiqua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u w:val="single"/>
          <w:rtl w:val="1"/>
        </w:rPr>
        <w:t xml:space="preserve">قواعد</w:t>
      </w:r>
      <w:r w:rsidDel="00000000" w:rsidR="00000000" w:rsidRPr="00000000">
        <w:rPr>
          <w:rFonts w:ascii="Book Antiqua" w:cs="Book Antiqua" w:eastAsia="Book Antiqua" w:hAnsi="Book Antiqua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1"/>
          <w:u w:val="single"/>
          <w:rtl w:val="1"/>
        </w:rPr>
        <w:t xml:space="preserve">النشر</w:t>
      </w:r>
      <w:r w:rsidDel="00000000" w:rsidR="00000000" w:rsidRPr="00000000">
        <w:rPr>
          <w:rFonts w:ascii="Book Antiqua" w:cs="Book Antiqua" w:eastAsia="Book Antiqua" w:hAnsi="Book Antiqua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1"/>
          <w:u w:val="single"/>
          <w:rtl w:val="1"/>
        </w:rPr>
        <w:t xml:space="preserve">وضوابط</w:t>
      </w:r>
      <w:r w:rsidDel="00000000" w:rsidR="00000000" w:rsidRPr="00000000">
        <w:rPr>
          <w:rFonts w:ascii="Book Antiqua" w:cs="Book Antiqua" w:eastAsia="Book Antiqua" w:hAnsi="Book Antiqua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1"/>
          <w:u w:val="single"/>
          <w:rtl w:val="1"/>
        </w:rPr>
        <w:t xml:space="preserve">الكتابة</w:t>
      </w:r>
      <w:r w:rsidDel="00000000" w:rsidR="00000000" w:rsidRPr="00000000">
        <w:rPr>
          <w:rFonts w:ascii="Book Antiqua" w:cs="Book Antiqua" w:eastAsia="Book Antiqua" w:hAnsi="Book Antiqua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bidi w:val="1"/>
        <w:jc w:val="center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يجب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إرسال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المقالة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المعدة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وفقا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ً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للقواعد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الإملائية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والشكل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التالي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إلى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النشرة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بصيغة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وورد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"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word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". </w:t>
      </w:r>
    </w:p>
    <w:p w:rsidR="00000000" w:rsidDel="00000000" w:rsidP="00000000" w:rsidRDefault="00000000" w:rsidRPr="00000000" w14:paraId="0000001A">
      <w:pPr>
        <w:bidi w:val="1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يجب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كتابة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المقالات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التي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سيتم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إرسالها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إلى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نشرة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SDE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Genç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Analiz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'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in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على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ورق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أبيض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بحجم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A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4،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مع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ترك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مسافة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3.5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سم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من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أعلى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وأسفل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ويمين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ويسار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المقالة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،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مع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تباعد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1.5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ألف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سطر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على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الأقل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،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على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الوجهين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،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وبدون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واصلة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في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نهاية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السطر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باستخدام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خط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"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Times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New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Roman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"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من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12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نقطة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.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ومع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ذلك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،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يجب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ألا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تتجاوز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الجداول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والأشكال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والصور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والرسومات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وما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شابه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ذلك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المقدمة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أبعاد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الصفحة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في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النشرة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وألا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يتجاوز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حجمها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12 × 17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سم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لتسهيل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الاستخدام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.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لهذا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السبب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،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يمكن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استخدام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حجم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خط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أصغر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ومسافة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واحدة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في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الجداول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والأشكال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والصور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والرسومات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وما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شابه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ذلك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. </w:t>
      </w:r>
    </w:p>
    <w:p w:rsidR="00000000" w:rsidDel="00000000" w:rsidP="00000000" w:rsidRDefault="00000000" w:rsidRPr="00000000" w14:paraId="0000001B">
      <w:pPr>
        <w:bidi w:val="1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يجب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استخدام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نظام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الاقتباس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APA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الطبعة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الثانية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في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الحاشية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السفلية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والببليوغرافيا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.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يراوح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الحد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الأقصى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لعدد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كلمات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المقال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1500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كلمة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،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بما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في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ذلك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المرفقات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مثل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الصور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والأشكال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والخرائط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وما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إلى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ذلك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(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باستثناء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الهوامش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والببليوغرافيا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).</w:t>
      </w:r>
    </w:p>
    <w:p w:rsidR="00000000" w:rsidDel="00000000" w:rsidP="00000000" w:rsidRDefault="00000000" w:rsidRPr="00000000" w14:paraId="0000001D">
      <w:pPr>
        <w:bidi w:val="1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لغة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الكتابة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في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SDE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Genç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Analiz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هي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اللغة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التركية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.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ومع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ذلك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،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يمكن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نشر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المقالات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باللغتين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الإنجليزية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والعربية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بمعدل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لا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يتجاوز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ثلث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المقالات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المنشورة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في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كل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عدد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.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وتستخدم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SDE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نظام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الاقتباس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APA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الطبعة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السادسة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. </w:t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يجب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تنظيم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المقالات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المراد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تقديمها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وفق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ً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لهذا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النظام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.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يمكنكم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مراجعة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نظام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الاقتباس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من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الجمعية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البرلمانية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الآسيوية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rtl w:val="1"/>
        </w:rPr>
        <w:t xml:space="preserve">على</w:t>
      </w:r>
      <w:r w:rsidDel="00000000" w:rsidR="00000000" w:rsidRPr="00000000">
        <w:rPr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https://dergipark.org.tr/tr/download/journal-file/10990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0"/>
        </w:rPr>
        <w:t xml:space="preserve">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dergipark.org.tr/tr/download/journal-file/1099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X+1PDrsxkWBEUwmeohUp5ob42Q==">CgMxLjA4AHIhMXJsQXZNVU9vTV9wQzJiVW8zMWNzOHhUOTV0OUpHUzhf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2024-02-14T22:14:00.0000000Z</dcterms:created>
</cp:coreProperties>
</file>